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FC" w:rsidRPr="00E11ADE" w:rsidRDefault="002124FC" w:rsidP="00813DEF">
      <w:pPr>
        <w:jc w:val="center"/>
        <w:rPr>
          <w:rFonts w:ascii="Times New Roman" w:hAnsi="Times New Roman"/>
          <w:b/>
        </w:rPr>
      </w:pPr>
      <w:r w:rsidRPr="00E11ADE">
        <w:rPr>
          <w:rFonts w:ascii="Times New Roman" w:hAnsi="Times New Roman"/>
          <w:b/>
        </w:rPr>
        <w:t>ПОВІДОМЛЕННЯ ПРО ПОВЕДЕННЯ ЗАГАЛЬНИХ ЗБОРІВ</w:t>
      </w:r>
    </w:p>
    <w:p w:rsidR="002124FC" w:rsidRPr="00E11ADE" w:rsidRDefault="002124FC" w:rsidP="004A7530">
      <w:pPr>
        <w:spacing w:after="0" w:line="240" w:lineRule="auto"/>
        <w:jc w:val="both"/>
        <w:rPr>
          <w:rFonts w:ascii="Times New Roman" w:hAnsi="Times New Roman"/>
        </w:rPr>
      </w:pPr>
      <w:r w:rsidRPr="00E132DF">
        <w:rPr>
          <w:rFonts w:ascii="Times New Roman" w:hAnsi="Times New Roman"/>
          <w:b/>
        </w:rPr>
        <w:t>Приватне акціонерне товариство  «Агроресурс»</w:t>
      </w:r>
      <w:r w:rsidRPr="00E11ADE">
        <w:rPr>
          <w:rFonts w:ascii="Times New Roman" w:hAnsi="Times New Roman"/>
        </w:rPr>
        <w:t> </w:t>
      </w:r>
      <w:r w:rsidR="00E132DF">
        <w:rPr>
          <w:rFonts w:ascii="Times New Roman" w:hAnsi="Times New Roman"/>
        </w:rPr>
        <w:t xml:space="preserve"> </w:t>
      </w:r>
      <w:r w:rsidRPr="00E11ADE">
        <w:rPr>
          <w:rFonts w:ascii="Times New Roman" w:hAnsi="Times New Roman"/>
        </w:rPr>
        <w:t xml:space="preserve"> </w:t>
      </w:r>
      <w:r w:rsidR="00E132DF">
        <w:rPr>
          <w:rFonts w:ascii="Times New Roman" w:hAnsi="Times New Roman"/>
        </w:rPr>
        <w:t xml:space="preserve">(код ЄДРПОУ 24175498, </w:t>
      </w:r>
      <w:r w:rsidR="00E132DF">
        <w:rPr>
          <w:rFonts w:ascii="Times New Roman" w:hAnsi="Times New Roman"/>
          <w:lang w:val="en-US"/>
        </w:rPr>
        <w:t>м</w:t>
      </w:r>
      <w:r w:rsidRPr="00E11ADE">
        <w:rPr>
          <w:rFonts w:ascii="Times New Roman" w:hAnsi="Times New Roman"/>
        </w:rPr>
        <w:t>ісцезнаходження: 33001, Україна, Рівненська обл., м. Рівне, вул. Нижньодворецька, 35</w:t>
      </w:r>
      <w:r w:rsidR="00E132DF">
        <w:rPr>
          <w:rFonts w:ascii="Times New Roman" w:hAnsi="Times New Roman"/>
        </w:rPr>
        <w:t>,</w:t>
      </w:r>
      <w:r w:rsidR="00E132DF" w:rsidRPr="00E132DF">
        <w:rPr>
          <w:sz w:val="20"/>
          <w:szCs w:val="20"/>
        </w:rPr>
        <w:t xml:space="preserve"> </w:t>
      </w:r>
      <w:r w:rsidR="00E132DF" w:rsidRPr="00E132DF">
        <w:rPr>
          <w:rFonts w:ascii="Times New Roman" w:hAnsi="Times New Roman"/>
        </w:rPr>
        <w:t>надалі - «Товариство»</w:t>
      </w:r>
      <w:r w:rsidR="00E132DF">
        <w:rPr>
          <w:rFonts w:ascii="Times New Roman" w:hAnsi="Times New Roman"/>
        </w:rPr>
        <w:t xml:space="preserve">) </w:t>
      </w:r>
      <w:r>
        <w:rPr>
          <w:rFonts w:ascii="Times New Roman" w:hAnsi="Times New Roman"/>
        </w:rPr>
        <w:t xml:space="preserve"> </w:t>
      </w:r>
      <w:r w:rsidRPr="00E11ADE">
        <w:rPr>
          <w:rFonts w:ascii="Times New Roman" w:hAnsi="Times New Roman"/>
        </w:rPr>
        <w:t>повідомляє, про проведення чергових загальних зборів акціонерів (надалі – «Загальні збори»), які  відбудуться «</w:t>
      </w:r>
      <w:r w:rsidRPr="00BD43AE">
        <w:rPr>
          <w:rFonts w:ascii="Times New Roman" w:hAnsi="Times New Roman"/>
        </w:rPr>
        <w:t>2</w:t>
      </w:r>
      <w:r w:rsidR="00DF17E3" w:rsidRPr="00DF17E3">
        <w:rPr>
          <w:rFonts w:ascii="Times New Roman" w:hAnsi="Times New Roman"/>
        </w:rPr>
        <w:t>9</w:t>
      </w:r>
      <w:r w:rsidRPr="00E11ADE">
        <w:rPr>
          <w:rFonts w:ascii="Times New Roman" w:hAnsi="Times New Roman"/>
        </w:rPr>
        <w:t xml:space="preserve">» </w:t>
      </w:r>
      <w:r>
        <w:rPr>
          <w:rFonts w:ascii="Times New Roman" w:hAnsi="Times New Roman"/>
        </w:rPr>
        <w:t>квітня</w:t>
      </w:r>
      <w:r w:rsidRPr="00E11ADE">
        <w:rPr>
          <w:rFonts w:ascii="Times New Roman" w:hAnsi="Times New Roman"/>
        </w:rPr>
        <w:t xml:space="preserve"> 20</w:t>
      </w:r>
      <w:r>
        <w:rPr>
          <w:rFonts w:ascii="Times New Roman" w:hAnsi="Times New Roman"/>
        </w:rPr>
        <w:t>21</w:t>
      </w:r>
      <w:r w:rsidRPr="00E11ADE">
        <w:rPr>
          <w:rFonts w:ascii="Times New Roman" w:hAnsi="Times New Roman"/>
        </w:rPr>
        <w:t xml:space="preserve"> року за адресою:  Рівненська обл., м. Рівне, вул. Нижньодворецька, 35, кабінет генерального директора.  Початок зборів о 10-00 годині. Реєстрація акціонерів та їх повноважних  представників проводитиметься з 9 год. 00 хв. до 9 год. 45 хв. за вищевказаною адресою проведення Загальних зборів. </w:t>
      </w:r>
    </w:p>
    <w:p w:rsidR="002124FC" w:rsidRPr="00E11ADE" w:rsidRDefault="002124FC" w:rsidP="004A7530">
      <w:pPr>
        <w:spacing w:after="0" w:line="240" w:lineRule="auto"/>
        <w:jc w:val="both"/>
        <w:rPr>
          <w:rFonts w:ascii="Times New Roman" w:hAnsi="Times New Roman"/>
        </w:rPr>
      </w:pPr>
      <w:r w:rsidRPr="00E11ADE">
        <w:rPr>
          <w:rFonts w:ascii="Times New Roman" w:hAnsi="Times New Roman"/>
        </w:rPr>
        <w:t xml:space="preserve">Дата складання переліку акціонерів, які мають право на участь у Зборах – </w:t>
      </w:r>
      <w:r w:rsidRPr="001D1687">
        <w:rPr>
          <w:rFonts w:ascii="Times New Roman" w:hAnsi="Times New Roman"/>
        </w:rPr>
        <w:t>«</w:t>
      </w:r>
      <w:r w:rsidR="00DF17E3">
        <w:rPr>
          <w:rFonts w:ascii="Times New Roman" w:hAnsi="Times New Roman"/>
          <w:lang w:val="ru-RU"/>
        </w:rPr>
        <w:t>23</w:t>
      </w:r>
      <w:r w:rsidRPr="00E11ADE">
        <w:rPr>
          <w:rFonts w:ascii="Times New Roman" w:hAnsi="Times New Roman"/>
        </w:rPr>
        <w:t xml:space="preserve">» </w:t>
      </w:r>
      <w:r>
        <w:rPr>
          <w:rFonts w:ascii="Times New Roman" w:hAnsi="Times New Roman"/>
        </w:rPr>
        <w:t>квітня</w:t>
      </w:r>
      <w:r w:rsidRPr="00E11ADE">
        <w:rPr>
          <w:rFonts w:ascii="Times New Roman" w:hAnsi="Times New Roman"/>
        </w:rPr>
        <w:t xml:space="preserve"> 20</w:t>
      </w:r>
      <w:r>
        <w:rPr>
          <w:rFonts w:ascii="Times New Roman" w:hAnsi="Times New Roman"/>
        </w:rPr>
        <w:t>21</w:t>
      </w:r>
      <w:r w:rsidRPr="00E11ADE">
        <w:rPr>
          <w:rFonts w:ascii="Times New Roman" w:hAnsi="Times New Roman"/>
        </w:rPr>
        <w:t xml:space="preserve"> року  (станом на 24-00). </w:t>
      </w:r>
    </w:p>
    <w:p w:rsidR="002124FC" w:rsidRPr="00E11ADE" w:rsidRDefault="002124FC" w:rsidP="004A7530">
      <w:pPr>
        <w:jc w:val="center"/>
        <w:rPr>
          <w:rFonts w:ascii="Times New Roman" w:hAnsi="Times New Roman"/>
          <w:b/>
        </w:rPr>
      </w:pPr>
      <w:r w:rsidRPr="00E11ADE">
        <w:rPr>
          <w:rFonts w:ascii="Times New Roman" w:hAnsi="Times New Roman"/>
          <w:b/>
        </w:rPr>
        <w:t>ПРОЕКТ ПОРЯДКУ ДЕННОГО та ПРОЕКТИ РІШЕНЬ:</w:t>
      </w:r>
    </w:p>
    <w:p w:rsidR="003074A6" w:rsidRPr="003074A6" w:rsidRDefault="002124FC" w:rsidP="00315A89">
      <w:pPr>
        <w:numPr>
          <w:ilvl w:val="0"/>
          <w:numId w:val="2"/>
        </w:numPr>
        <w:tabs>
          <w:tab w:val="left" w:pos="851"/>
        </w:tabs>
        <w:suppressAutoHyphens/>
        <w:spacing w:after="0" w:line="240" w:lineRule="auto"/>
        <w:jc w:val="both"/>
        <w:rPr>
          <w:rFonts w:ascii="Times New Roman" w:hAnsi="Times New Roman"/>
          <w:i/>
        </w:rPr>
      </w:pPr>
      <w:r w:rsidRPr="00E11ADE">
        <w:rPr>
          <w:rFonts w:ascii="Times New Roman" w:hAnsi="Times New Roman"/>
        </w:rPr>
        <w:t>Про обрання лічильної комісії</w:t>
      </w:r>
      <w:r>
        <w:rPr>
          <w:rFonts w:ascii="Times New Roman" w:hAnsi="Times New Roman"/>
        </w:rPr>
        <w:t xml:space="preserve"> загальних зборів.</w:t>
      </w:r>
    </w:p>
    <w:p w:rsidR="002124FC" w:rsidRPr="00813DEF" w:rsidRDefault="002124FC" w:rsidP="003074A6">
      <w:pPr>
        <w:tabs>
          <w:tab w:val="left" w:pos="851"/>
        </w:tabs>
        <w:suppressAutoHyphens/>
        <w:spacing w:after="0" w:line="240" w:lineRule="auto"/>
        <w:ind w:left="720"/>
        <w:jc w:val="both"/>
        <w:rPr>
          <w:rFonts w:ascii="Times New Roman" w:hAnsi="Times New Roman"/>
          <w:i/>
        </w:rPr>
      </w:pPr>
      <w:r>
        <w:rPr>
          <w:rFonts w:ascii="Times New Roman" w:hAnsi="Times New Roman"/>
        </w:rPr>
        <w:t xml:space="preserve"> </w:t>
      </w:r>
      <w:r w:rsidR="003074A6" w:rsidRPr="003074A6">
        <w:rPr>
          <w:rFonts w:ascii="Times New Roman" w:hAnsi="Times New Roman"/>
          <w:i/>
        </w:rPr>
        <w:t>Проект рішення:</w:t>
      </w:r>
      <w:r w:rsidRPr="00813DEF">
        <w:rPr>
          <w:rFonts w:ascii="Times New Roman" w:hAnsi="Times New Roman"/>
          <w:i/>
        </w:rPr>
        <w:t>Обрати</w:t>
      </w:r>
      <w:r>
        <w:rPr>
          <w:rFonts w:ascii="Times New Roman" w:hAnsi="Times New Roman"/>
        </w:rPr>
        <w:t xml:space="preserve"> </w:t>
      </w:r>
      <w:r w:rsidRPr="00E11ADE">
        <w:rPr>
          <w:rFonts w:ascii="Times New Roman" w:hAnsi="Times New Roman"/>
          <w:i/>
        </w:rPr>
        <w:t xml:space="preserve">лічильну комісію у складі </w:t>
      </w:r>
      <w:r w:rsidR="003074A6">
        <w:rPr>
          <w:rFonts w:ascii="Times New Roman" w:hAnsi="Times New Roman"/>
          <w:i/>
          <w:lang w:val="en-US"/>
        </w:rPr>
        <w:t>Шубін</w:t>
      </w:r>
      <w:r w:rsidR="003074A6">
        <w:rPr>
          <w:rFonts w:ascii="Times New Roman" w:hAnsi="Times New Roman"/>
          <w:i/>
        </w:rPr>
        <w:t>ої</w:t>
      </w:r>
      <w:r w:rsidR="003074A6">
        <w:rPr>
          <w:rFonts w:ascii="Times New Roman" w:hAnsi="Times New Roman"/>
          <w:i/>
          <w:lang w:val="en-US"/>
        </w:rPr>
        <w:t xml:space="preserve"> Олен</w:t>
      </w:r>
      <w:r w:rsidR="003074A6">
        <w:rPr>
          <w:rFonts w:ascii="Times New Roman" w:hAnsi="Times New Roman"/>
          <w:i/>
        </w:rPr>
        <w:t>и</w:t>
      </w:r>
      <w:r w:rsidR="003074A6">
        <w:rPr>
          <w:rFonts w:ascii="Times New Roman" w:hAnsi="Times New Roman"/>
          <w:i/>
          <w:lang w:val="en-US"/>
        </w:rPr>
        <w:t xml:space="preserve"> Вікторівн</w:t>
      </w:r>
      <w:r w:rsidR="003074A6">
        <w:rPr>
          <w:rFonts w:ascii="Times New Roman" w:hAnsi="Times New Roman"/>
          <w:i/>
        </w:rPr>
        <w:t>и</w:t>
      </w:r>
      <w:r w:rsidRPr="00E11ADE">
        <w:rPr>
          <w:rFonts w:ascii="Times New Roman" w:hAnsi="Times New Roman"/>
          <w:i/>
        </w:rPr>
        <w:t xml:space="preserve"> та Редько Ірини Валентинівни.</w:t>
      </w:r>
    </w:p>
    <w:p w:rsidR="003074A6" w:rsidRPr="003074A6" w:rsidRDefault="002124FC" w:rsidP="00315A89">
      <w:pPr>
        <w:numPr>
          <w:ilvl w:val="0"/>
          <w:numId w:val="2"/>
        </w:numPr>
        <w:tabs>
          <w:tab w:val="left" w:pos="851"/>
        </w:tabs>
        <w:suppressAutoHyphens/>
        <w:spacing w:after="0" w:line="240" w:lineRule="auto"/>
        <w:jc w:val="both"/>
        <w:rPr>
          <w:rFonts w:ascii="Times New Roman" w:hAnsi="Times New Roman"/>
          <w:i/>
        </w:rPr>
      </w:pPr>
      <w:r w:rsidRPr="00E11ADE">
        <w:rPr>
          <w:rFonts w:ascii="Times New Roman" w:hAnsi="Times New Roman"/>
        </w:rPr>
        <w:t>Про обрання голови</w:t>
      </w:r>
      <w:r>
        <w:rPr>
          <w:rFonts w:ascii="Times New Roman" w:hAnsi="Times New Roman"/>
        </w:rPr>
        <w:t xml:space="preserve"> та секретаря загальних зборів</w:t>
      </w:r>
      <w:r w:rsidRPr="00E11ADE">
        <w:rPr>
          <w:rFonts w:ascii="Times New Roman" w:hAnsi="Times New Roman"/>
        </w:rPr>
        <w:t xml:space="preserve">. </w:t>
      </w:r>
    </w:p>
    <w:p w:rsidR="002124FC" w:rsidRPr="00E11ADE" w:rsidRDefault="003074A6" w:rsidP="003074A6">
      <w:pPr>
        <w:tabs>
          <w:tab w:val="left" w:pos="851"/>
        </w:tabs>
        <w:suppressAutoHyphens/>
        <w:spacing w:after="0" w:line="240" w:lineRule="auto"/>
        <w:ind w:left="720"/>
        <w:jc w:val="both"/>
        <w:rPr>
          <w:rFonts w:ascii="Times New Roman" w:hAnsi="Times New Roman"/>
          <w:i/>
        </w:rPr>
      </w:pPr>
      <w:r w:rsidRPr="003074A6">
        <w:rPr>
          <w:rFonts w:ascii="Times New Roman" w:hAnsi="Times New Roman"/>
          <w:i/>
        </w:rPr>
        <w:t>Проект рішення:</w:t>
      </w:r>
      <w:r w:rsidR="002124FC" w:rsidRPr="00E11ADE">
        <w:rPr>
          <w:rFonts w:ascii="Times New Roman" w:hAnsi="Times New Roman"/>
          <w:i/>
        </w:rPr>
        <w:t xml:space="preserve">Обрати головою загальних зборів Редька Володимира Миколайовича, секретарем - Редька Віктора Миколайовича, </w:t>
      </w:r>
    </w:p>
    <w:p w:rsidR="003074A6" w:rsidRPr="003074A6" w:rsidRDefault="002124FC" w:rsidP="00315A89">
      <w:pPr>
        <w:numPr>
          <w:ilvl w:val="0"/>
          <w:numId w:val="2"/>
        </w:numPr>
        <w:tabs>
          <w:tab w:val="left" w:pos="851"/>
        </w:tabs>
        <w:suppressAutoHyphens/>
        <w:spacing w:after="0" w:line="240" w:lineRule="auto"/>
        <w:jc w:val="both"/>
        <w:rPr>
          <w:rFonts w:ascii="Times New Roman" w:hAnsi="Times New Roman"/>
          <w:i/>
        </w:rPr>
      </w:pPr>
      <w:r w:rsidRPr="00E11ADE">
        <w:rPr>
          <w:rFonts w:ascii="Times New Roman" w:hAnsi="Times New Roman"/>
        </w:rPr>
        <w:t>Звіт генерального директора ПрАТ «Агроресурс» про результати фінансово–господарської діяльності товариства за 201</w:t>
      </w:r>
      <w:r>
        <w:rPr>
          <w:rFonts w:ascii="Times New Roman" w:hAnsi="Times New Roman"/>
        </w:rPr>
        <w:t xml:space="preserve">9-2020 </w:t>
      </w:r>
      <w:r w:rsidRPr="00042021">
        <w:rPr>
          <w:rFonts w:ascii="Times New Roman" w:hAnsi="Times New Roman"/>
        </w:rPr>
        <w:t>роки</w:t>
      </w:r>
      <w:r>
        <w:rPr>
          <w:rFonts w:ascii="Times New Roman" w:hAnsi="Times New Roman"/>
          <w:i/>
          <w:iCs/>
        </w:rPr>
        <w:t>.</w:t>
      </w:r>
      <w:r>
        <w:rPr>
          <w:rFonts w:ascii="Times New Roman" w:hAnsi="Times New Roman"/>
        </w:rPr>
        <w:t xml:space="preserve"> </w:t>
      </w:r>
    </w:p>
    <w:p w:rsidR="002124FC" w:rsidRPr="00E11ADE" w:rsidRDefault="003074A6" w:rsidP="003074A6">
      <w:pPr>
        <w:tabs>
          <w:tab w:val="left" w:pos="851"/>
        </w:tabs>
        <w:suppressAutoHyphens/>
        <w:spacing w:after="0" w:line="240" w:lineRule="auto"/>
        <w:ind w:left="720"/>
        <w:jc w:val="both"/>
        <w:rPr>
          <w:rFonts w:ascii="Times New Roman" w:hAnsi="Times New Roman"/>
          <w:i/>
        </w:rPr>
      </w:pPr>
      <w:r w:rsidRPr="003074A6">
        <w:rPr>
          <w:rFonts w:ascii="Times New Roman" w:hAnsi="Times New Roman"/>
          <w:i/>
        </w:rPr>
        <w:t>Проект рішення:</w:t>
      </w:r>
      <w:r>
        <w:rPr>
          <w:rFonts w:ascii="Times New Roman" w:hAnsi="Times New Roman"/>
          <w:i/>
        </w:rPr>
        <w:t xml:space="preserve"> </w:t>
      </w:r>
      <w:r w:rsidR="002124FC">
        <w:rPr>
          <w:rFonts w:ascii="Times New Roman" w:hAnsi="Times New Roman"/>
        </w:rPr>
        <w:t>З</w:t>
      </w:r>
      <w:r w:rsidR="002124FC" w:rsidRPr="00E11ADE">
        <w:rPr>
          <w:rFonts w:ascii="Times New Roman" w:hAnsi="Times New Roman"/>
          <w:i/>
        </w:rPr>
        <w:t xml:space="preserve">віт генерального директора про результати фінансово-господарської діяльності товариства за </w:t>
      </w:r>
      <w:r w:rsidR="002124FC" w:rsidRPr="00042021">
        <w:rPr>
          <w:rFonts w:ascii="Times New Roman" w:hAnsi="Times New Roman"/>
          <w:i/>
          <w:iCs/>
        </w:rPr>
        <w:t>2019-2020 роки</w:t>
      </w:r>
      <w:r w:rsidR="002124FC" w:rsidRPr="00E11ADE">
        <w:rPr>
          <w:rFonts w:ascii="Times New Roman" w:hAnsi="Times New Roman"/>
          <w:i/>
        </w:rPr>
        <w:t xml:space="preserve"> </w:t>
      </w:r>
      <w:r w:rsidR="002124FC">
        <w:rPr>
          <w:rFonts w:ascii="Times New Roman" w:hAnsi="Times New Roman"/>
          <w:i/>
        </w:rPr>
        <w:t>затвердит</w:t>
      </w:r>
      <w:r w:rsidR="002124FC" w:rsidRPr="004F5C55">
        <w:rPr>
          <w:rFonts w:ascii="Times New Roman" w:hAnsi="Times New Roman"/>
          <w:i/>
        </w:rPr>
        <w:t>и.</w:t>
      </w:r>
    </w:p>
    <w:p w:rsidR="003074A6" w:rsidRPr="003074A6" w:rsidRDefault="002124FC" w:rsidP="00315A89">
      <w:pPr>
        <w:numPr>
          <w:ilvl w:val="0"/>
          <w:numId w:val="2"/>
        </w:numPr>
        <w:tabs>
          <w:tab w:val="left" w:pos="851"/>
        </w:tabs>
        <w:suppressAutoHyphens/>
        <w:spacing w:after="0" w:line="240" w:lineRule="auto"/>
        <w:jc w:val="both"/>
        <w:rPr>
          <w:rFonts w:ascii="Times New Roman" w:hAnsi="Times New Roman"/>
          <w:i/>
        </w:rPr>
      </w:pPr>
      <w:r w:rsidRPr="00E11ADE">
        <w:rPr>
          <w:rFonts w:ascii="Times New Roman" w:hAnsi="Times New Roman"/>
        </w:rPr>
        <w:t>Звіт та висновки Ревізора про результати фінансово–господарської діяльності товариства за 201</w:t>
      </w:r>
      <w:r>
        <w:rPr>
          <w:rFonts w:ascii="Times New Roman" w:hAnsi="Times New Roman"/>
        </w:rPr>
        <w:t xml:space="preserve">9-2020 </w:t>
      </w:r>
      <w:r w:rsidRPr="00042021">
        <w:rPr>
          <w:rFonts w:ascii="Times New Roman" w:hAnsi="Times New Roman"/>
        </w:rPr>
        <w:t>роки</w:t>
      </w:r>
      <w:r w:rsidRPr="00E11ADE">
        <w:rPr>
          <w:rFonts w:ascii="Times New Roman" w:hAnsi="Times New Roman"/>
        </w:rPr>
        <w:t xml:space="preserve">. </w:t>
      </w:r>
    </w:p>
    <w:p w:rsidR="002124FC" w:rsidRPr="00E11ADE" w:rsidRDefault="003074A6" w:rsidP="003074A6">
      <w:pPr>
        <w:tabs>
          <w:tab w:val="left" w:pos="851"/>
        </w:tabs>
        <w:suppressAutoHyphens/>
        <w:spacing w:after="0" w:line="240" w:lineRule="auto"/>
        <w:ind w:left="720"/>
        <w:jc w:val="both"/>
        <w:rPr>
          <w:rFonts w:ascii="Times New Roman" w:hAnsi="Times New Roman"/>
          <w:i/>
        </w:rPr>
      </w:pPr>
      <w:r w:rsidRPr="003074A6">
        <w:rPr>
          <w:rFonts w:ascii="Times New Roman" w:hAnsi="Times New Roman"/>
          <w:i/>
        </w:rPr>
        <w:t>Проект рішення:</w:t>
      </w:r>
      <w:r w:rsidR="002124FC">
        <w:rPr>
          <w:rFonts w:ascii="Times New Roman" w:hAnsi="Times New Roman"/>
          <w:i/>
        </w:rPr>
        <w:t>З</w:t>
      </w:r>
      <w:r w:rsidR="002124FC" w:rsidRPr="00E11ADE">
        <w:rPr>
          <w:rFonts w:ascii="Times New Roman" w:hAnsi="Times New Roman"/>
          <w:i/>
        </w:rPr>
        <w:t xml:space="preserve">віт Ревізора про результати фінансово-господарської діяльності товариства за </w:t>
      </w:r>
      <w:r w:rsidR="002124FC" w:rsidRPr="00042021">
        <w:rPr>
          <w:rFonts w:ascii="Times New Roman" w:hAnsi="Times New Roman"/>
          <w:i/>
          <w:iCs/>
        </w:rPr>
        <w:t>2019-2020 роки</w:t>
      </w:r>
      <w:r w:rsidR="002124FC" w:rsidRPr="00E11ADE">
        <w:rPr>
          <w:rFonts w:ascii="Times New Roman" w:hAnsi="Times New Roman"/>
          <w:i/>
        </w:rPr>
        <w:t xml:space="preserve"> </w:t>
      </w:r>
      <w:r w:rsidR="002124FC">
        <w:rPr>
          <w:rFonts w:ascii="Times New Roman" w:hAnsi="Times New Roman"/>
          <w:i/>
        </w:rPr>
        <w:t>затвердити.</w:t>
      </w:r>
    </w:p>
    <w:p w:rsidR="003074A6" w:rsidRPr="003074A6" w:rsidRDefault="002124FC" w:rsidP="00315A89">
      <w:pPr>
        <w:numPr>
          <w:ilvl w:val="0"/>
          <w:numId w:val="2"/>
        </w:numPr>
        <w:tabs>
          <w:tab w:val="left" w:pos="851"/>
        </w:tabs>
        <w:suppressAutoHyphens/>
        <w:spacing w:after="0" w:line="240" w:lineRule="auto"/>
        <w:jc w:val="both"/>
        <w:rPr>
          <w:rFonts w:ascii="Times New Roman" w:hAnsi="Times New Roman"/>
          <w:i/>
        </w:rPr>
      </w:pPr>
      <w:r w:rsidRPr="00E11ADE">
        <w:rPr>
          <w:rFonts w:ascii="Times New Roman" w:hAnsi="Times New Roman"/>
        </w:rPr>
        <w:t>Затвердження річної фінансової звітності та балансу товариства за 201</w:t>
      </w:r>
      <w:r>
        <w:rPr>
          <w:rFonts w:ascii="Times New Roman" w:hAnsi="Times New Roman"/>
        </w:rPr>
        <w:t>9-2020 роки</w:t>
      </w:r>
      <w:r w:rsidRPr="00E11ADE">
        <w:rPr>
          <w:rFonts w:ascii="Times New Roman" w:hAnsi="Times New Roman"/>
        </w:rPr>
        <w:t xml:space="preserve">. </w:t>
      </w:r>
    </w:p>
    <w:p w:rsidR="002124FC" w:rsidRDefault="003074A6" w:rsidP="003074A6">
      <w:pPr>
        <w:tabs>
          <w:tab w:val="left" w:pos="851"/>
        </w:tabs>
        <w:suppressAutoHyphens/>
        <w:spacing w:after="0" w:line="240" w:lineRule="auto"/>
        <w:ind w:left="720"/>
        <w:jc w:val="both"/>
        <w:rPr>
          <w:rFonts w:ascii="Times New Roman" w:hAnsi="Times New Roman"/>
          <w:i/>
        </w:rPr>
      </w:pPr>
      <w:r w:rsidRPr="003074A6">
        <w:rPr>
          <w:rFonts w:ascii="Times New Roman" w:hAnsi="Times New Roman"/>
          <w:i/>
        </w:rPr>
        <w:t>Проект рішення:</w:t>
      </w:r>
      <w:r w:rsidR="002124FC" w:rsidRPr="00E11ADE">
        <w:rPr>
          <w:rFonts w:ascii="Times New Roman" w:hAnsi="Times New Roman"/>
          <w:i/>
        </w:rPr>
        <w:t xml:space="preserve">Затвердити річну фінансову звітність та баланс товариства за </w:t>
      </w:r>
      <w:r w:rsidR="002124FC" w:rsidRPr="00042021">
        <w:rPr>
          <w:rFonts w:ascii="Times New Roman" w:hAnsi="Times New Roman"/>
          <w:i/>
          <w:iCs/>
        </w:rPr>
        <w:t>2019-2020 роки.</w:t>
      </w:r>
    </w:p>
    <w:p w:rsidR="003074A6" w:rsidRDefault="002124FC" w:rsidP="00DB782F">
      <w:pPr>
        <w:numPr>
          <w:ilvl w:val="0"/>
          <w:numId w:val="2"/>
        </w:numPr>
        <w:tabs>
          <w:tab w:val="left" w:pos="851"/>
        </w:tabs>
        <w:suppressAutoHyphens/>
        <w:spacing w:after="0" w:line="240" w:lineRule="auto"/>
        <w:jc w:val="both"/>
        <w:rPr>
          <w:rFonts w:ascii="Times New Roman" w:hAnsi="Times New Roman"/>
          <w:i/>
        </w:rPr>
      </w:pPr>
      <w:r w:rsidRPr="00813DEF">
        <w:rPr>
          <w:rFonts w:ascii="Times New Roman" w:hAnsi="Times New Roman"/>
        </w:rPr>
        <w:t>Прийняття рішення за результатами розгляду звітів виконавчого органу та Ревізора</w:t>
      </w:r>
      <w:r>
        <w:rPr>
          <w:rFonts w:ascii="Times New Roman" w:hAnsi="Times New Roman"/>
          <w:i/>
        </w:rPr>
        <w:t>.</w:t>
      </w:r>
    </w:p>
    <w:p w:rsidR="002124FC" w:rsidRDefault="002124FC" w:rsidP="003074A6">
      <w:pPr>
        <w:tabs>
          <w:tab w:val="left" w:pos="851"/>
        </w:tabs>
        <w:suppressAutoHyphens/>
        <w:spacing w:after="0" w:line="240" w:lineRule="auto"/>
        <w:ind w:left="720"/>
        <w:jc w:val="both"/>
        <w:rPr>
          <w:rFonts w:ascii="Times New Roman" w:hAnsi="Times New Roman"/>
          <w:i/>
        </w:rPr>
      </w:pPr>
      <w:r>
        <w:rPr>
          <w:rFonts w:ascii="Times New Roman" w:hAnsi="Times New Roman"/>
          <w:i/>
        </w:rPr>
        <w:t xml:space="preserve"> </w:t>
      </w:r>
      <w:r w:rsidR="003074A6" w:rsidRPr="003074A6">
        <w:rPr>
          <w:rFonts w:ascii="Times New Roman" w:hAnsi="Times New Roman"/>
          <w:i/>
        </w:rPr>
        <w:t>Проект рішення:</w:t>
      </w:r>
      <w:r>
        <w:rPr>
          <w:rFonts w:ascii="Times New Roman" w:hAnsi="Times New Roman"/>
          <w:i/>
        </w:rPr>
        <w:t>Визнати роботу виконавчого органу та ревізора задовільною</w:t>
      </w:r>
    </w:p>
    <w:p w:rsidR="003074A6" w:rsidRPr="003074A6" w:rsidRDefault="002124FC" w:rsidP="00DB782F">
      <w:pPr>
        <w:numPr>
          <w:ilvl w:val="0"/>
          <w:numId w:val="2"/>
        </w:numPr>
        <w:tabs>
          <w:tab w:val="left" w:pos="851"/>
        </w:tabs>
        <w:suppressAutoHyphens/>
        <w:spacing w:after="0" w:line="240" w:lineRule="auto"/>
        <w:jc w:val="both"/>
        <w:rPr>
          <w:rFonts w:ascii="Times New Roman" w:hAnsi="Times New Roman"/>
          <w:i/>
          <w:iCs/>
        </w:rPr>
      </w:pPr>
      <w:r w:rsidRPr="00E11ADE">
        <w:rPr>
          <w:rFonts w:ascii="Times New Roman" w:hAnsi="Times New Roman"/>
        </w:rPr>
        <w:t>Затвердження</w:t>
      </w:r>
      <w:r>
        <w:rPr>
          <w:rFonts w:ascii="Times New Roman" w:hAnsi="Times New Roman"/>
        </w:rPr>
        <w:t xml:space="preserve"> розподілу прибутку за 2020 рік.</w:t>
      </w:r>
      <w:r w:rsidR="00DF17E3">
        <w:rPr>
          <w:rFonts w:ascii="Times New Roman" w:hAnsi="Times New Roman"/>
          <w:lang w:val="ru-RU"/>
        </w:rPr>
        <w:t xml:space="preserve"> </w:t>
      </w:r>
    </w:p>
    <w:p w:rsidR="002124FC" w:rsidRPr="00DF17E3" w:rsidRDefault="003074A6" w:rsidP="003074A6">
      <w:pPr>
        <w:tabs>
          <w:tab w:val="left" w:pos="851"/>
        </w:tabs>
        <w:suppressAutoHyphens/>
        <w:spacing w:after="0" w:line="240" w:lineRule="auto"/>
        <w:ind w:left="720"/>
        <w:jc w:val="both"/>
        <w:rPr>
          <w:rFonts w:ascii="Times New Roman" w:hAnsi="Times New Roman"/>
          <w:i/>
          <w:iCs/>
        </w:rPr>
      </w:pPr>
      <w:r w:rsidRPr="003074A6">
        <w:rPr>
          <w:rFonts w:ascii="Times New Roman" w:hAnsi="Times New Roman"/>
          <w:i/>
        </w:rPr>
        <w:t>Проект рішення:</w:t>
      </w:r>
      <w:r w:rsidR="00DF17E3" w:rsidRPr="00DF17E3">
        <w:rPr>
          <w:rFonts w:ascii="Times New Roman" w:hAnsi="Times New Roman"/>
          <w:i/>
          <w:iCs/>
          <w:lang w:val="ru-RU"/>
        </w:rPr>
        <w:t>За рахунок отрима</w:t>
      </w:r>
      <w:r w:rsidR="00DF17E3" w:rsidRPr="00DF17E3">
        <w:rPr>
          <w:rFonts w:ascii="Times New Roman" w:hAnsi="Times New Roman"/>
          <w:i/>
          <w:iCs/>
        </w:rPr>
        <w:t>ного прибутку покрити збитки попередн</w:t>
      </w:r>
      <w:r w:rsidR="00DF17E3">
        <w:rPr>
          <w:rFonts w:ascii="Times New Roman" w:hAnsi="Times New Roman"/>
          <w:i/>
          <w:iCs/>
        </w:rPr>
        <w:t>іх періодів. Дивіденти не нараховувати та не виплачувати.</w:t>
      </w:r>
    </w:p>
    <w:p w:rsidR="002124FC" w:rsidRPr="00E11ADE" w:rsidRDefault="002124FC" w:rsidP="00DF17E3">
      <w:pPr>
        <w:tabs>
          <w:tab w:val="left" w:pos="851"/>
        </w:tabs>
        <w:suppressAutoHyphens/>
        <w:spacing w:after="0" w:line="240" w:lineRule="auto"/>
        <w:ind w:left="720"/>
        <w:jc w:val="both"/>
        <w:rPr>
          <w:rFonts w:ascii="Times New Roman" w:hAnsi="Times New Roman"/>
          <w:i/>
        </w:rPr>
      </w:pPr>
    </w:p>
    <w:p w:rsidR="002124FC" w:rsidRPr="00BD4818" w:rsidRDefault="002124FC" w:rsidP="00BD4818">
      <w:pPr>
        <w:pStyle w:val="a4"/>
        <w:jc w:val="center"/>
        <w:rPr>
          <w:rFonts w:ascii="Times New Roman" w:hAnsi="Times New Roman"/>
          <w:b/>
        </w:rPr>
      </w:pPr>
      <w:r w:rsidRPr="00BD4818">
        <w:rPr>
          <w:rFonts w:ascii="Times New Roman" w:hAnsi="Times New Roman"/>
          <w:b/>
        </w:rPr>
        <w:t>Основні показники</w:t>
      </w:r>
    </w:p>
    <w:p w:rsidR="002124FC" w:rsidRPr="00BD4818" w:rsidRDefault="002124FC" w:rsidP="00BD4818">
      <w:pPr>
        <w:pStyle w:val="a4"/>
        <w:jc w:val="center"/>
        <w:rPr>
          <w:rFonts w:ascii="Times New Roman" w:hAnsi="Times New Roman"/>
          <w:b/>
        </w:rPr>
      </w:pPr>
      <w:r w:rsidRPr="00BD4818">
        <w:rPr>
          <w:rFonts w:ascii="Times New Roman" w:hAnsi="Times New Roman"/>
          <w:b/>
        </w:rPr>
        <w:t>фінансово-господарської діяльності ПрАТ «Агроресурс» за 2019</w:t>
      </w:r>
      <w:r>
        <w:rPr>
          <w:rFonts w:ascii="Times New Roman" w:hAnsi="Times New Roman"/>
          <w:b/>
        </w:rPr>
        <w:t>-2020</w:t>
      </w:r>
      <w:r w:rsidRPr="00BD4818">
        <w:rPr>
          <w:rFonts w:ascii="Times New Roman" w:hAnsi="Times New Roman"/>
          <w:b/>
        </w:rPr>
        <w:t>р.</w:t>
      </w:r>
    </w:p>
    <w:tbl>
      <w:tblPr>
        <w:tblW w:w="4996"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5061"/>
        <w:gridCol w:w="1611"/>
        <w:gridCol w:w="1807"/>
        <w:gridCol w:w="1742"/>
      </w:tblGrid>
      <w:tr w:rsidR="002124FC" w:rsidRPr="009757F1" w:rsidTr="007B35B0">
        <w:tc>
          <w:tcPr>
            <w:tcW w:w="2476" w:type="pct"/>
            <w:vMerge w:val="restar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2124FC" w:rsidP="007B35B0">
            <w:pPr>
              <w:spacing w:line="360" w:lineRule="atLeast"/>
              <w:rPr>
                <w:rFonts w:ascii="Times New Roman" w:hAnsi="Times New Roman"/>
                <w:sz w:val="20"/>
                <w:szCs w:val="20"/>
              </w:rPr>
            </w:pPr>
            <w:r w:rsidRPr="009757F1">
              <w:rPr>
                <w:rFonts w:ascii="Times New Roman" w:hAnsi="Times New Roman"/>
                <w:sz w:val="20"/>
                <w:szCs w:val="20"/>
              </w:rPr>
              <w:t>Найменування показника</w:t>
            </w:r>
          </w:p>
        </w:tc>
        <w:tc>
          <w:tcPr>
            <w:tcW w:w="2524" w:type="pct"/>
            <w:gridSpan w:val="3"/>
            <w:tcBorders>
              <w:top w:val="single" w:sz="6" w:space="0" w:color="989898"/>
              <w:left w:val="single" w:sz="6" w:space="0" w:color="989898"/>
              <w:bottom w:val="single" w:sz="6" w:space="0" w:color="989898"/>
            </w:tcBorders>
            <w:shd w:val="clear" w:color="auto" w:fill="FFFFFF"/>
          </w:tcPr>
          <w:p w:rsidR="002124FC" w:rsidRPr="009757F1" w:rsidRDefault="00084BFD" w:rsidP="007B35B0">
            <w:pPr>
              <w:spacing w:line="360" w:lineRule="atLeast"/>
              <w:jc w:val="center"/>
              <w:rPr>
                <w:rFonts w:ascii="Times New Roman" w:hAnsi="Times New Roman"/>
                <w:sz w:val="20"/>
                <w:szCs w:val="20"/>
              </w:rPr>
            </w:pPr>
            <w:hyperlink r:id="rId5" w:tgtFrame="_top" w:history="1">
              <w:r w:rsidR="002124FC" w:rsidRPr="009757F1">
                <w:rPr>
                  <w:rFonts w:ascii="Times New Roman" w:hAnsi="Times New Roman"/>
                  <w:sz w:val="20"/>
                  <w:szCs w:val="20"/>
                </w:rPr>
                <w:t>Період</w:t>
              </w:r>
            </w:hyperlink>
          </w:p>
        </w:tc>
      </w:tr>
      <w:tr w:rsidR="002124FC" w:rsidRPr="009757F1" w:rsidTr="00042021">
        <w:tc>
          <w:tcPr>
            <w:tcW w:w="2476" w:type="pct"/>
            <w:vMerge/>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2124FC" w:rsidP="007B35B0">
            <w:pPr>
              <w:rPr>
                <w:rFonts w:ascii="Times New Roman" w:hAnsi="Times New Roman"/>
                <w:sz w:val="20"/>
                <w:szCs w:val="20"/>
              </w:rPr>
            </w:pPr>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jc w:val="center"/>
              <w:rPr>
                <w:rFonts w:ascii="Times New Roman" w:hAnsi="Times New Roman"/>
                <w:sz w:val="20"/>
                <w:szCs w:val="20"/>
                <w:highlight w:val="yellow"/>
              </w:rPr>
            </w:pPr>
            <w:hyperlink r:id="rId6" w:tgtFrame="_top" w:history="1">
              <w:r w:rsidR="002124FC" w:rsidRPr="009757F1">
                <w:rPr>
                  <w:rFonts w:ascii="Times New Roman" w:hAnsi="Times New Roman"/>
                  <w:sz w:val="20"/>
                  <w:szCs w:val="20"/>
                </w:rPr>
                <w:t>звітний</w:t>
              </w:r>
            </w:hyperlink>
            <w:r w:rsidR="002124FC" w:rsidRPr="009757F1">
              <w:rPr>
                <w:rFonts w:ascii="Times New Roman" w:hAnsi="Times New Roman"/>
                <w:sz w:val="20"/>
                <w:szCs w:val="20"/>
              </w:rPr>
              <w:t xml:space="preserve"> 2020р.</w:t>
            </w:r>
          </w:p>
        </w:tc>
        <w:tc>
          <w:tcPr>
            <w:tcW w:w="884" w:type="pct"/>
            <w:tcBorders>
              <w:top w:val="single" w:sz="6" w:space="0" w:color="989898"/>
              <w:left w:val="single" w:sz="6" w:space="0" w:color="989898"/>
              <w:bottom w:val="single" w:sz="6" w:space="0" w:color="989898"/>
              <w:right w:val="single" w:sz="6" w:space="0" w:color="989898"/>
            </w:tcBorders>
            <w:shd w:val="clear" w:color="auto" w:fill="FFFFFF"/>
          </w:tcPr>
          <w:p w:rsidR="002124FC" w:rsidRPr="009757F1" w:rsidRDefault="00084BFD" w:rsidP="007B35B0">
            <w:pPr>
              <w:spacing w:line="360" w:lineRule="atLeast"/>
              <w:jc w:val="center"/>
              <w:rPr>
                <w:rFonts w:ascii="Times New Roman" w:hAnsi="Times New Roman"/>
                <w:sz w:val="20"/>
                <w:szCs w:val="20"/>
              </w:rPr>
            </w:pPr>
            <w:hyperlink r:id="rId7" w:tgtFrame="_top" w:history="1">
              <w:r w:rsidR="002124FC" w:rsidRPr="009757F1">
                <w:rPr>
                  <w:rFonts w:ascii="Times New Roman" w:hAnsi="Times New Roman"/>
                  <w:sz w:val="20"/>
                  <w:szCs w:val="20"/>
                </w:rPr>
                <w:t>звітний</w:t>
              </w:r>
            </w:hyperlink>
            <w:r w:rsidR="002124FC" w:rsidRPr="009757F1">
              <w:rPr>
                <w:rFonts w:ascii="Times New Roman" w:hAnsi="Times New Roman"/>
                <w:sz w:val="20"/>
                <w:szCs w:val="20"/>
              </w:rPr>
              <w:t xml:space="preserve"> 2019р</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jc w:val="center"/>
              <w:rPr>
                <w:rFonts w:ascii="Times New Roman" w:hAnsi="Times New Roman"/>
                <w:sz w:val="20"/>
                <w:szCs w:val="20"/>
              </w:rPr>
            </w:pPr>
            <w:hyperlink r:id="rId8" w:tgtFrame="_top" w:history="1">
              <w:r w:rsidR="002124FC" w:rsidRPr="009757F1">
                <w:rPr>
                  <w:rFonts w:ascii="Times New Roman" w:hAnsi="Times New Roman"/>
                  <w:sz w:val="20"/>
                  <w:szCs w:val="20"/>
                </w:rPr>
                <w:t>попередній</w:t>
              </w:r>
            </w:hyperlink>
            <w:r w:rsidR="002124FC" w:rsidRPr="009757F1">
              <w:rPr>
                <w:rFonts w:ascii="Times New Roman" w:hAnsi="Times New Roman"/>
                <w:sz w:val="20"/>
                <w:szCs w:val="20"/>
              </w:rPr>
              <w:t xml:space="preserve"> 2018р.</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9" w:tgtFrame="_top" w:history="1">
              <w:r w:rsidR="002124FC" w:rsidRPr="009757F1">
                <w:rPr>
                  <w:rFonts w:ascii="Times New Roman" w:hAnsi="Times New Roman"/>
                  <w:sz w:val="20"/>
                  <w:szCs w:val="20"/>
                </w:rPr>
                <w:t>Усього активів</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sidRPr="00DB782F">
              <w:rPr>
                <w:rFonts w:ascii="Times New Roman" w:hAnsi="Times New Roman"/>
                <w:sz w:val="20"/>
                <w:szCs w:val="20"/>
              </w:rPr>
              <w:t>97704</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sidRPr="00DB782F">
              <w:rPr>
                <w:rFonts w:ascii="Times New Roman" w:hAnsi="Times New Roman"/>
                <w:sz w:val="20"/>
                <w:szCs w:val="20"/>
              </w:rPr>
              <w:t>90857</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98504</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0" w:tgtFrame="_top" w:history="1">
              <w:r w:rsidR="002124FC" w:rsidRPr="009757F1">
                <w:rPr>
                  <w:rFonts w:ascii="Times New Roman" w:hAnsi="Times New Roman"/>
                  <w:sz w:val="20"/>
                  <w:szCs w:val="20"/>
                </w:rPr>
                <w:t>Основні засоби (за залишковою вартістю)</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2274A2" w:rsidRDefault="002124FC" w:rsidP="00DB782F">
            <w:pPr>
              <w:spacing w:line="360" w:lineRule="atLeast"/>
              <w:jc w:val="center"/>
              <w:rPr>
                <w:rFonts w:ascii="Times New Roman" w:hAnsi="Times New Roman"/>
                <w:sz w:val="20"/>
                <w:szCs w:val="20"/>
              </w:rPr>
            </w:pPr>
            <w:r w:rsidRPr="002274A2">
              <w:rPr>
                <w:rFonts w:ascii="Times New Roman" w:hAnsi="Times New Roman"/>
                <w:sz w:val="20"/>
                <w:szCs w:val="20"/>
              </w:rPr>
              <w:t>51013</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53293</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57708</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1" w:tgtFrame="_top" w:history="1">
              <w:r w:rsidR="002124FC" w:rsidRPr="009757F1">
                <w:rPr>
                  <w:rFonts w:ascii="Times New Roman" w:hAnsi="Times New Roman"/>
                  <w:sz w:val="20"/>
                  <w:szCs w:val="20"/>
                </w:rPr>
                <w:t>Запаси</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18807</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19184</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25440</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2" w:tgtFrame="_top" w:history="1">
              <w:r w:rsidR="002124FC" w:rsidRPr="009757F1">
                <w:rPr>
                  <w:rFonts w:ascii="Times New Roman" w:hAnsi="Times New Roman"/>
                  <w:sz w:val="20"/>
                  <w:szCs w:val="20"/>
                </w:rPr>
                <w:t>Сумарна дебіторська заборгованість</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7318</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7695</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11041</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3" w:tgtFrame="_top" w:history="1">
              <w:r w:rsidR="002124FC" w:rsidRPr="009757F1">
                <w:rPr>
                  <w:rFonts w:ascii="Times New Roman" w:hAnsi="Times New Roman"/>
                  <w:sz w:val="20"/>
                  <w:szCs w:val="20"/>
                </w:rPr>
                <w:t>Гроші та їх еквіваленти</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20375</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10486</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3235</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4" w:tgtFrame="_top" w:history="1">
              <w:r w:rsidR="002124FC" w:rsidRPr="009757F1">
                <w:rPr>
                  <w:rFonts w:ascii="Times New Roman" w:hAnsi="Times New Roman"/>
                  <w:sz w:val="20"/>
                  <w:szCs w:val="20"/>
                </w:rPr>
                <w:t>Нерозподілений прибуток (непокритий збиток)</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72816</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66622</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67574</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5" w:tgtFrame="_top" w:history="1">
              <w:r w:rsidR="002124FC" w:rsidRPr="009757F1">
                <w:rPr>
                  <w:rFonts w:ascii="Times New Roman" w:hAnsi="Times New Roman"/>
                  <w:sz w:val="20"/>
                  <w:szCs w:val="20"/>
                </w:rPr>
                <w:t>Власний капітал</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94114</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87920</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88872</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6" w:tgtFrame="_top" w:history="1">
              <w:r w:rsidR="002124FC" w:rsidRPr="009757F1">
                <w:rPr>
                  <w:rFonts w:ascii="Times New Roman" w:hAnsi="Times New Roman"/>
                  <w:sz w:val="20"/>
                  <w:szCs w:val="20"/>
                </w:rPr>
                <w:t>Зареєстрований (пайовий/статутний) капітал</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3074A6" w:rsidP="007B35B0">
            <w:pPr>
              <w:spacing w:line="360" w:lineRule="atLeast"/>
              <w:jc w:val="center"/>
              <w:rPr>
                <w:rFonts w:ascii="Times New Roman" w:hAnsi="Times New Roman"/>
                <w:sz w:val="20"/>
                <w:szCs w:val="20"/>
              </w:rPr>
            </w:pPr>
            <w:r>
              <w:rPr>
                <w:rFonts w:ascii="Times New Roman" w:hAnsi="Times New Roman"/>
                <w:sz w:val="20"/>
                <w:szCs w:val="20"/>
              </w:rPr>
              <w:t>6859</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3074A6" w:rsidP="007B35B0">
            <w:pPr>
              <w:spacing w:line="360" w:lineRule="atLeast"/>
              <w:jc w:val="center"/>
              <w:rPr>
                <w:rFonts w:ascii="Times New Roman" w:hAnsi="Times New Roman"/>
                <w:sz w:val="20"/>
                <w:szCs w:val="20"/>
              </w:rPr>
            </w:pPr>
            <w:r>
              <w:rPr>
                <w:rFonts w:ascii="Times New Roman" w:hAnsi="Times New Roman"/>
                <w:sz w:val="20"/>
                <w:szCs w:val="20"/>
              </w:rPr>
              <w:t>6859</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3074A6" w:rsidP="007B35B0">
            <w:pPr>
              <w:spacing w:line="360" w:lineRule="atLeast"/>
              <w:jc w:val="center"/>
              <w:rPr>
                <w:rFonts w:ascii="Times New Roman" w:hAnsi="Times New Roman"/>
                <w:sz w:val="20"/>
                <w:szCs w:val="20"/>
              </w:rPr>
            </w:pPr>
            <w:r>
              <w:rPr>
                <w:rFonts w:ascii="Times New Roman" w:hAnsi="Times New Roman"/>
                <w:sz w:val="20"/>
                <w:szCs w:val="20"/>
              </w:rPr>
              <w:t>6859</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7" w:tgtFrame="_top" w:history="1">
              <w:r w:rsidR="002124FC" w:rsidRPr="009757F1">
                <w:rPr>
                  <w:rFonts w:ascii="Times New Roman" w:hAnsi="Times New Roman"/>
                  <w:sz w:val="20"/>
                  <w:szCs w:val="20"/>
                </w:rPr>
                <w:t>Довгострокові зобов'язання і забезпечення</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8" w:tgtFrame="_top" w:history="1">
              <w:r w:rsidR="002124FC" w:rsidRPr="009757F1">
                <w:rPr>
                  <w:rFonts w:ascii="Times New Roman" w:hAnsi="Times New Roman"/>
                  <w:sz w:val="20"/>
                  <w:szCs w:val="20"/>
                </w:rPr>
                <w:t>Поточні зобов'язання і забезпечення</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3590</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2937</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9632</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19" w:tgtFrame="_top" w:history="1">
              <w:r w:rsidR="002124FC" w:rsidRPr="009757F1">
                <w:rPr>
                  <w:rFonts w:ascii="Times New Roman" w:hAnsi="Times New Roman"/>
                  <w:sz w:val="20"/>
                  <w:szCs w:val="20"/>
                </w:rPr>
                <w:t>Чистий фінансовий результат: прибуток (збиток)</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sidRPr="00DB782F">
              <w:rPr>
                <w:rFonts w:ascii="Times New Roman" w:hAnsi="Times New Roman"/>
                <w:sz w:val="20"/>
                <w:szCs w:val="20"/>
              </w:rPr>
              <w:t>6194</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sidRPr="00DB782F">
              <w:rPr>
                <w:rFonts w:ascii="Times New Roman" w:hAnsi="Times New Roman"/>
                <w:sz w:val="20"/>
                <w:szCs w:val="20"/>
              </w:rPr>
              <w:t>(952)</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sidRPr="00DB782F">
              <w:rPr>
                <w:rFonts w:ascii="Times New Roman" w:hAnsi="Times New Roman"/>
                <w:sz w:val="20"/>
                <w:szCs w:val="20"/>
              </w:rPr>
              <w:t>(2254)</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20" w:tgtFrame="_top" w:history="1">
              <w:r w:rsidR="002124FC" w:rsidRPr="009757F1">
                <w:rPr>
                  <w:rFonts w:ascii="Times New Roman" w:hAnsi="Times New Roman"/>
                  <w:sz w:val="20"/>
                  <w:szCs w:val="20"/>
                </w:rPr>
                <w:t>Середньорічна кількість акцій (шт.)</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3610</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3610</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3610</w:t>
            </w:r>
          </w:p>
        </w:tc>
      </w:tr>
      <w:tr w:rsidR="002124FC" w:rsidRPr="009757F1" w:rsidTr="00042021">
        <w:tc>
          <w:tcPr>
            <w:tcW w:w="2476"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9757F1" w:rsidRDefault="00084BFD" w:rsidP="007B35B0">
            <w:pPr>
              <w:spacing w:line="360" w:lineRule="atLeast"/>
              <w:rPr>
                <w:rFonts w:ascii="Times New Roman" w:hAnsi="Times New Roman"/>
                <w:sz w:val="20"/>
                <w:szCs w:val="20"/>
              </w:rPr>
            </w:pPr>
            <w:hyperlink r:id="rId21" w:tgtFrame="_top" w:history="1">
              <w:r w:rsidR="002124FC" w:rsidRPr="009757F1">
                <w:rPr>
                  <w:rFonts w:ascii="Times New Roman" w:hAnsi="Times New Roman"/>
                  <w:sz w:val="20"/>
                  <w:szCs w:val="20"/>
                </w:rPr>
                <w:t>Чистий прибуток (збиток) на одну просту акцію (грн)</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1715,78947</w:t>
            </w:r>
          </w:p>
        </w:tc>
        <w:tc>
          <w:tcPr>
            <w:tcW w:w="884" w:type="pct"/>
            <w:tcBorders>
              <w:top w:val="single" w:sz="6" w:space="0" w:color="989898"/>
              <w:left w:val="single" w:sz="6" w:space="0" w:color="989898"/>
              <w:bottom w:val="single" w:sz="6" w:space="0" w:color="989898"/>
              <w:right w:val="single" w:sz="6" w:space="0" w:color="989898"/>
            </w:tcBorders>
            <w:shd w:val="clear" w:color="auto" w:fill="FFFFFF"/>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(263,71191)</w:t>
            </w:r>
          </w:p>
        </w:tc>
        <w:tc>
          <w:tcPr>
            <w:tcW w:w="852"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2124FC" w:rsidRPr="00DB782F" w:rsidRDefault="002124FC" w:rsidP="007B35B0">
            <w:pPr>
              <w:spacing w:line="360" w:lineRule="atLeast"/>
              <w:jc w:val="center"/>
              <w:rPr>
                <w:rFonts w:ascii="Times New Roman" w:hAnsi="Times New Roman"/>
                <w:sz w:val="20"/>
                <w:szCs w:val="20"/>
              </w:rPr>
            </w:pPr>
            <w:r>
              <w:rPr>
                <w:rFonts w:ascii="Times New Roman" w:hAnsi="Times New Roman"/>
                <w:sz w:val="20"/>
                <w:szCs w:val="20"/>
              </w:rPr>
              <w:t>(624,37673)</w:t>
            </w:r>
          </w:p>
        </w:tc>
      </w:tr>
    </w:tbl>
    <w:p w:rsidR="00DF17E3" w:rsidRPr="00DF17E3" w:rsidRDefault="00DF17E3" w:rsidP="00DF17E3">
      <w:pPr>
        <w:spacing w:after="0" w:line="240" w:lineRule="auto"/>
        <w:ind w:firstLine="708"/>
        <w:jc w:val="both"/>
        <w:rPr>
          <w:rFonts w:ascii="Times New Roman" w:hAnsi="Times New Roman"/>
        </w:rPr>
      </w:pPr>
      <w:r w:rsidRPr="00DF17E3">
        <w:rPr>
          <w:rFonts w:ascii="Times New Roman" w:hAnsi="Times New Roman"/>
        </w:rPr>
        <w:t xml:space="preserve">Згідно з переліком осіб, яким надсилається повідомлення про проведення загальних зборів загальна кількість простих іменних акцій Товариства становить </w:t>
      </w:r>
      <w:r>
        <w:rPr>
          <w:rFonts w:ascii="Times New Roman" w:hAnsi="Times New Roman"/>
        </w:rPr>
        <w:t>3610</w:t>
      </w:r>
      <w:r w:rsidRPr="00DF17E3">
        <w:rPr>
          <w:rFonts w:ascii="Times New Roman" w:hAnsi="Times New Roman"/>
        </w:rPr>
        <w:t xml:space="preserve"> (</w:t>
      </w:r>
      <w:r>
        <w:rPr>
          <w:rFonts w:ascii="Times New Roman" w:hAnsi="Times New Roman"/>
        </w:rPr>
        <w:t>три</w:t>
      </w:r>
      <w:r w:rsidRPr="00DF17E3">
        <w:rPr>
          <w:rFonts w:ascii="Times New Roman" w:hAnsi="Times New Roman"/>
        </w:rPr>
        <w:t xml:space="preserve"> тисяч</w:t>
      </w:r>
      <w:r>
        <w:rPr>
          <w:rFonts w:ascii="Times New Roman" w:hAnsi="Times New Roman"/>
        </w:rPr>
        <w:t>і</w:t>
      </w:r>
      <w:r w:rsidRPr="00DF17E3">
        <w:rPr>
          <w:rFonts w:ascii="Times New Roman" w:hAnsi="Times New Roman"/>
        </w:rPr>
        <w:t xml:space="preserve"> </w:t>
      </w:r>
      <w:r>
        <w:rPr>
          <w:rFonts w:ascii="Times New Roman" w:hAnsi="Times New Roman"/>
        </w:rPr>
        <w:t>шістсот десять</w:t>
      </w:r>
      <w:r w:rsidRPr="00DF17E3">
        <w:rPr>
          <w:rFonts w:ascii="Times New Roman" w:hAnsi="Times New Roman"/>
        </w:rPr>
        <w:t xml:space="preserve">) штук простих іменних акцій, загальна кількість голосуючих іменних акцій Товариства становить </w:t>
      </w:r>
      <w:r>
        <w:rPr>
          <w:rFonts w:ascii="Times New Roman" w:hAnsi="Times New Roman"/>
        </w:rPr>
        <w:t>3610</w:t>
      </w:r>
      <w:r w:rsidRPr="00DF17E3">
        <w:rPr>
          <w:rFonts w:ascii="Times New Roman" w:hAnsi="Times New Roman"/>
        </w:rPr>
        <w:t xml:space="preserve"> (</w:t>
      </w:r>
      <w:r>
        <w:rPr>
          <w:rFonts w:ascii="Times New Roman" w:hAnsi="Times New Roman"/>
        </w:rPr>
        <w:t>три</w:t>
      </w:r>
      <w:r w:rsidRPr="00DF17E3">
        <w:rPr>
          <w:rFonts w:ascii="Times New Roman" w:hAnsi="Times New Roman"/>
        </w:rPr>
        <w:t xml:space="preserve"> тисяч</w:t>
      </w:r>
      <w:r>
        <w:rPr>
          <w:rFonts w:ascii="Times New Roman" w:hAnsi="Times New Roman"/>
        </w:rPr>
        <w:t>і</w:t>
      </w:r>
      <w:r w:rsidRPr="00DF17E3">
        <w:rPr>
          <w:rFonts w:ascii="Times New Roman" w:hAnsi="Times New Roman"/>
        </w:rPr>
        <w:t xml:space="preserve"> </w:t>
      </w:r>
      <w:r>
        <w:rPr>
          <w:rFonts w:ascii="Times New Roman" w:hAnsi="Times New Roman"/>
        </w:rPr>
        <w:t>шістсот десять</w:t>
      </w:r>
      <w:r w:rsidRPr="00DF17E3">
        <w:rPr>
          <w:rFonts w:ascii="Times New Roman" w:hAnsi="Times New Roman"/>
        </w:rPr>
        <w:t xml:space="preserve">) штук. </w:t>
      </w:r>
    </w:p>
    <w:p w:rsidR="00DF17E3" w:rsidRPr="009E0DB9" w:rsidRDefault="00DF17E3" w:rsidP="00DF17E3">
      <w:pPr>
        <w:spacing w:after="0" w:line="240" w:lineRule="auto"/>
        <w:ind w:firstLine="708"/>
        <w:jc w:val="both"/>
        <w:rPr>
          <w:rFonts w:ascii="Times New Roman" w:hAnsi="Times New Roman"/>
          <w:lang w:val="en-US" w:eastAsia="uk-UA"/>
        </w:rPr>
      </w:pPr>
      <w:r w:rsidRPr="00DF17E3">
        <w:rPr>
          <w:rFonts w:ascii="Times New Roman" w:hAnsi="Times New Roman"/>
        </w:rPr>
        <w:t>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в порядку, передбаченому ст.36 ЗУ «Про акціонерні товариства», у приміщенні ПрАТ «</w:t>
      </w:r>
      <w:r>
        <w:rPr>
          <w:rFonts w:ascii="Times New Roman" w:hAnsi="Times New Roman"/>
        </w:rPr>
        <w:t>Агроресурс</w:t>
      </w:r>
      <w:r w:rsidRPr="00DF17E3">
        <w:rPr>
          <w:rFonts w:ascii="Times New Roman" w:hAnsi="Times New Roman"/>
        </w:rPr>
        <w:t xml:space="preserve">» за адресою: </w:t>
      </w:r>
      <w:r w:rsidRPr="00E11ADE">
        <w:rPr>
          <w:rFonts w:ascii="Times New Roman" w:hAnsi="Times New Roman"/>
        </w:rPr>
        <w:t>м. Рівне, вул. Нижньодворецька, 35</w:t>
      </w:r>
      <w:r w:rsidRPr="00DF17E3">
        <w:rPr>
          <w:rFonts w:ascii="Times New Roman" w:hAnsi="Times New Roman"/>
        </w:rPr>
        <w:t xml:space="preserve">, кабінет приймальної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w:t>
      </w:r>
      <w:r>
        <w:rPr>
          <w:rFonts w:ascii="Times New Roman" w:hAnsi="Times New Roman"/>
        </w:rPr>
        <w:t>головний бухгалтер Товариства</w:t>
      </w:r>
      <w:r w:rsidRPr="00DF17E3">
        <w:rPr>
          <w:rFonts w:ascii="Times New Roman" w:hAnsi="Times New Roman"/>
        </w:rPr>
        <w:t xml:space="preserve"> </w:t>
      </w:r>
      <w:r>
        <w:rPr>
          <w:rFonts w:ascii="Times New Roman" w:hAnsi="Times New Roman"/>
        </w:rPr>
        <w:t>Редько Г.М</w:t>
      </w:r>
      <w:r w:rsidRPr="00DF17E3">
        <w:rPr>
          <w:rFonts w:ascii="Times New Roman" w:hAnsi="Times New Roman"/>
        </w:rPr>
        <w:t>.  (тел.: +</w:t>
      </w:r>
      <w:r w:rsidRPr="00DF17E3">
        <w:rPr>
          <w:rFonts w:ascii="Times New Roman" w:hAnsi="Times New Roman"/>
          <w:highlight w:val="yellow"/>
        </w:rPr>
        <w:t>380</w:t>
      </w:r>
      <w:r w:rsidR="00856E31">
        <w:rPr>
          <w:rFonts w:ascii="Times New Roman" w:hAnsi="Times New Roman"/>
          <w:highlight w:val="yellow"/>
        </w:rPr>
        <w:t>50-375</w:t>
      </w:r>
      <w:r w:rsidRPr="00DF17E3">
        <w:rPr>
          <w:rFonts w:ascii="Times New Roman" w:hAnsi="Times New Roman"/>
          <w:highlight w:val="yellow"/>
        </w:rPr>
        <w:t>-</w:t>
      </w:r>
      <w:r w:rsidR="00856E31">
        <w:rPr>
          <w:rFonts w:ascii="Times New Roman" w:hAnsi="Times New Roman"/>
          <w:highlight w:val="yellow"/>
        </w:rPr>
        <w:t>31</w:t>
      </w:r>
      <w:r w:rsidRPr="00DF17E3">
        <w:rPr>
          <w:rFonts w:ascii="Times New Roman" w:hAnsi="Times New Roman"/>
          <w:highlight w:val="yellow"/>
        </w:rPr>
        <w:t>-</w:t>
      </w:r>
      <w:r w:rsidR="00856E31">
        <w:rPr>
          <w:rFonts w:ascii="Times New Roman" w:hAnsi="Times New Roman"/>
        </w:rPr>
        <w:t>13</w:t>
      </w:r>
      <w:r w:rsidRPr="00DF17E3">
        <w:rPr>
          <w:rFonts w:ascii="Times New Roman" w:hAnsi="Times New Roman"/>
        </w:rPr>
        <w:t>). З питань порядку денного та організаційних питань проведення Загальних зборів звертатись до зазначеної уповноваженої особи. </w:t>
      </w:r>
      <w:r w:rsidRPr="00DF17E3">
        <w:rPr>
          <w:rFonts w:ascii="Times New Roman" w:hAnsi="Times New Roman"/>
          <w:lang w:eastAsia="uk-UA"/>
        </w:rPr>
        <w:t xml:space="preserve">Інформація з проектом рішень щодо кожного з питань, включених до проекту порядку денного розміщена на власному веб-сайті </w:t>
      </w:r>
      <w:r w:rsidR="00856E31" w:rsidRPr="00856E31">
        <w:rPr>
          <w:rFonts w:ascii="Times New Roman" w:hAnsi="Times New Roman"/>
          <w:shd w:val="clear" w:color="auto" w:fill="FFFFFF"/>
        </w:rPr>
        <w:t>http://agroresurs.prat.in.ua</w:t>
      </w:r>
    </w:p>
    <w:p w:rsidR="00DF17E3" w:rsidRPr="00DF17E3" w:rsidRDefault="00DF17E3" w:rsidP="00DF17E3">
      <w:pPr>
        <w:spacing w:after="0" w:line="240" w:lineRule="auto"/>
        <w:jc w:val="both"/>
        <w:rPr>
          <w:rFonts w:ascii="Times New Roman" w:hAnsi="Times New Roman"/>
        </w:rPr>
      </w:pPr>
      <w:r w:rsidRPr="00DF17E3">
        <w:rPr>
          <w:rFonts w:ascii="Times New Roman" w:hAnsi="Times New Roman"/>
        </w:rPr>
        <w:t> </w:t>
      </w:r>
      <w:r w:rsidRPr="00DF17E3">
        <w:rPr>
          <w:rFonts w:ascii="Times New Roman" w:hAnsi="Times New Roman"/>
        </w:rPr>
        <w:tab/>
        <w:t>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rsidR="00DF17E3" w:rsidRPr="00DF17E3" w:rsidRDefault="00DF17E3" w:rsidP="00DF17E3">
      <w:pPr>
        <w:spacing w:after="0" w:line="240" w:lineRule="auto"/>
        <w:ind w:firstLine="708"/>
        <w:jc w:val="both"/>
        <w:rPr>
          <w:rFonts w:ascii="Times New Roman" w:hAnsi="Times New Roman"/>
        </w:rPr>
      </w:pPr>
      <w:r w:rsidRPr="00DF17E3">
        <w:rPr>
          <w:rFonts w:ascii="Times New Roman" w:hAnsi="Times New Roman"/>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DF17E3" w:rsidRPr="00DF17E3" w:rsidRDefault="00DF17E3" w:rsidP="00DF17E3">
      <w:pPr>
        <w:spacing w:after="0" w:line="240" w:lineRule="auto"/>
        <w:ind w:firstLine="708"/>
        <w:jc w:val="both"/>
        <w:rPr>
          <w:rFonts w:ascii="Times New Roman" w:hAnsi="Times New Roman"/>
        </w:rPr>
      </w:pPr>
      <w:r w:rsidRPr="00DF17E3">
        <w:rPr>
          <w:rFonts w:ascii="Times New Roman" w:hAnsi="Times New Roman"/>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w:t>
      </w:r>
    </w:p>
    <w:p w:rsidR="002124FC" w:rsidRDefault="002124FC" w:rsidP="00DF17E3">
      <w:pPr>
        <w:spacing w:after="0" w:line="240" w:lineRule="auto"/>
        <w:jc w:val="both"/>
        <w:rPr>
          <w:rFonts w:ascii="Times New Roman" w:hAnsi="Times New Roman"/>
        </w:rPr>
      </w:pPr>
    </w:p>
    <w:p w:rsidR="00DF17E3" w:rsidRPr="00DF17E3" w:rsidRDefault="00DF17E3" w:rsidP="00DF17E3">
      <w:pPr>
        <w:spacing w:after="0" w:line="240" w:lineRule="auto"/>
        <w:jc w:val="both"/>
        <w:rPr>
          <w:rFonts w:ascii="Times New Roman" w:hAnsi="Times New Roman"/>
          <w:b/>
          <w:bCs/>
        </w:rPr>
      </w:pPr>
      <w:r w:rsidRPr="00DF17E3">
        <w:rPr>
          <w:rFonts w:ascii="Times New Roman" w:hAnsi="Times New Roman"/>
          <w:b/>
          <w:bCs/>
        </w:rPr>
        <w:t>Генеральний директор Редько В.М.</w:t>
      </w:r>
    </w:p>
    <w:sectPr w:rsidR="00DF17E3" w:rsidRPr="00DF17E3" w:rsidSect="00ED1D5A">
      <w:pgSz w:w="11906" w:h="16838"/>
      <w:pgMar w:top="426" w:right="56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35B78"/>
    <w:multiLevelType w:val="hybridMultilevel"/>
    <w:tmpl w:val="C4A468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A580877"/>
    <w:multiLevelType w:val="hybridMultilevel"/>
    <w:tmpl w:val="EDF0C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4A7530"/>
    <w:rsid w:val="00042021"/>
    <w:rsid w:val="00057FEE"/>
    <w:rsid w:val="00084BFD"/>
    <w:rsid w:val="000939FF"/>
    <w:rsid w:val="000E035B"/>
    <w:rsid w:val="00101836"/>
    <w:rsid w:val="001D1687"/>
    <w:rsid w:val="002124FC"/>
    <w:rsid w:val="002274A2"/>
    <w:rsid w:val="003074A6"/>
    <w:rsid w:val="00315A89"/>
    <w:rsid w:val="004A7530"/>
    <w:rsid w:val="004F5C55"/>
    <w:rsid w:val="005C0734"/>
    <w:rsid w:val="00606760"/>
    <w:rsid w:val="00623662"/>
    <w:rsid w:val="006F4055"/>
    <w:rsid w:val="007B35B0"/>
    <w:rsid w:val="00813DEF"/>
    <w:rsid w:val="00856E31"/>
    <w:rsid w:val="008B5729"/>
    <w:rsid w:val="009757F1"/>
    <w:rsid w:val="009C4F99"/>
    <w:rsid w:val="009D0EDC"/>
    <w:rsid w:val="009E0DB9"/>
    <w:rsid w:val="00A8577A"/>
    <w:rsid w:val="00B40CC4"/>
    <w:rsid w:val="00B61C72"/>
    <w:rsid w:val="00BD43AE"/>
    <w:rsid w:val="00BD4818"/>
    <w:rsid w:val="00C47835"/>
    <w:rsid w:val="00D379A0"/>
    <w:rsid w:val="00D6702D"/>
    <w:rsid w:val="00DB782F"/>
    <w:rsid w:val="00DF17E3"/>
    <w:rsid w:val="00E11ADE"/>
    <w:rsid w:val="00E132DF"/>
    <w:rsid w:val="00E3474A"/>
    <w:rsid w:val="00E54040"/>
    <w:rsid w:val="00E54D3E"/>
    <w:rsid w:val="00E6331D"/>
    <w:rsid w:val="00ED1D5A"/>
    <w:rsid w:val="00F13F13"/>
    <w:rsid w:val="00F331E2"/>
    <w:rsid w:val="00F87269"/>
    <w:rsid w:val="00FF5B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30"/>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4818"/>
    <w:pPr>
      <w:widowControl w:val="0"/>
      <w:suppressAutoHyphens/>
    </w:pPr>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D4818"/>
    <w:pPr>
      <w:ind w:left="720"/>
      <w:contextualSpacing/>
    </w:pPr>
  </w:style>
  <w:style w:type="character" w:styleId="a5">
    <w:name w:val="Hyperlink"/>
    <w:uiPriority w:val="99"/>
    <w:unhideWhenUsed/>
    <w:rsid w:val="00DF17E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2056.html" TargetMode="External"/><Relationship Id="rId13" Type="http://schemas.openxmlformats.org/officeDocument/2006/relationships/hyperlink" Target="http://search.ligazakon.ua/l_doc2.nsf/link1/RE32056.html" TargetMode="External"/><Relationship Id="rId18" Type="http://schemas.openxmlformats.org/officeDocument/2006/relationships/hyperlink" Target="http://search.ligazakon.ua/l_doc2.nsf/link1/RE32056.html" TargetMode="External"/><Relationship Id="rId3" Type="http://schemas.openxmlformats.org/officeDocument/2006/relationships/settings" Target="settings.xml"/><Relationship Id="rId21" Type="http://schemas.openxmlformats.org/officeDocument/2006/relationships/hyperlink" Target="http://search.ligazakon.ua/l_doc2.nsf/link1/RE32056.html" TargetMode="External"/><Relationship Id="rId7" Type="http://schemas.openxmlformats.org/officeDocument/2006/relationships/hyperlink" Target="http://search.ligazakon.ua/l_doc2.nsf/link1/RE32056.html" TargetMode="External"/><Relationship Id="rId12" Type="http://schemas.openxmlformats.org/officeDocument/2006/relationships/hyperlink" Target="http://search.ligazakon.ua/l_doc2.nsf/link1/RE32056.html" TargetMode="External"/><Relationship Id="rId17" Type="http://schemas.openxmlformats.org/officeDocument/2006/relationships/hyperlink" Target="http://search.ligazakon.ua/l_doc2.nsf/link1/RE32056.html" TargetMode="External"/><Relationship Id="rId2" Type="http://schemas.openxmlformats.org/officeDocument/2006/relationships/styles" Target="styles.xml"/><Relationship Id="rId16" Type="http://schemas.openxmlformats.org/officeDocument/2006/relationships/hyperlink" Target="http://search.ligazakon.ua/l_doc2.nsf/link1/RE32056.html" TargetMode="External"/><Relationship Id="rId20" Type="http://schemas.openxmlformats.org/officeDocument/2006/relationships/hyperlink" Target="http://search.ligazakon.ua/l_doc2.nsf/link1/RE32056.html" TargetMode="External"/><Relationship Id="rId1" Type="http://schemas.openxmlformats.org/officeDocument/2006/relationships/numbering" Target="numbering.xml"/><Relationship Id="rId6" Type="http://schemas.openxmlformats.org/officeDocument/2006/relationships/hyperlink" Target="http://search.ligazakon.ua/l_doc2.nsf/link1/RE32056.html" TargetMode="External"/><Relationship Id="rId11" Type="http://schemas.openxmlformats.org/officeDocument/2006/relationships/hyperlink" Target="http://search.ligazakon.ua/l_doc2.nsf/link1/RE32056.html" TargetMode="External"/><Relationship Id="rId5" Type="http://schemas.openxmlformats.org/officeDocument/2006/relationships/hyperlink" Target="http://search.ligazakon.ua/l_doc2.nsf/link1/RE32056.html" TargetMode="External"/><Relationship Id="rId15" Type="http://schemas.openxmlformats.org/officeDocument/2006/relationships/hyperlink" Target="http://search.ligazakon.ua/l_doc2.nsf/link1/RE32056.html" TargetMode="External"/><Relationship Id="rId23" Type="http://schemas.openxmlformats.org/officeDocument/2006/relationships/theme" Target="theme/theme1.xml"/><Relationship Id="rId10" Type="http://schemas.openxmlformats.org/officeDocument/2006/relationships/hyperlink" Target="http://search.ligazakon.ua/l_doc2.nsf/link1/RE32056.html" TargetMode="External"/><Relationship Id="rId19" Type="http://schemas.openxmlformats.org/officeDocument/2006/relationships/hyperlink" Target="http://search.ligazakon.ua/l_doc2.nsf/link1/RE32056.html" TargetMode="External"/><Relationship Id="rId4" Type="http://schemas.openxmlformats.org/officeDocument/2006/relationships/webSettings" Target="webSettings.xml"/><Relationship Id="rId9" Type="http://schemas.openxmlformats.org/officeDocument/2006/relationships/hyperlink" Target="http://search.ligazakon.ua/l_doc2.nsf/link1/RE32056.html" TargetMode="External"/><Relationship Id="rId14" Type="http://schemas.openxmlformats.org/officeDocument/2006/relationships/hyperlink" Target="http://search.ligazakon.ua/l_doc2.nsf/link1/RE3205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5339</Words>
  <Characters>3044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Ольга</cp:lastModifiedBy>
  <cp:revision>6</cp:revision>
  <cp:lastPrinted>2018-03-21T08:18:00Z</cp:lastPrinted>
  <dcterms:created xsi:type="dcterms:W3CDTF">2021-03-25T15:40:00Z</dcterms:created>
  <dcterms:modified xsi:type="dcterms:W3CDTF">2021-03-30T08:08:00Z</dcterms:modified>
</cp:coreProperties>
</file>